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b w:val="1"/>
          <w:sz w:val="32"/>
          <w:szCs w:val="32"/>
          <w:rtl w:val="1"/>
        </w:rPr>
        <w:t xml:space="preserve">لتواصل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التنظيمي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الجزء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الرابع</w:t>
      </w:r>
      <w:r w:rsidDel="00000000" w:rsidR="00000000" w:rsidRPr="00000000">
        <w:rPr>
          <w:b w:val="1"/>
          <w:sz w:val="32"/>
          <w:szCs w:val="32"/>
          <w:rtl w:val="1"/>
        </w:rPr>
        <w:t xml:space="preserve">  –</w:t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0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88900</wp:posOffset>
                </wp:positionV>
                <wp:extent cx="45212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82859" y="3780000"/>
                          <a:ext cx="452627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4294967295" distT="4294967295" distL="114300" distR="114300" hidden="0" layoutInCell="0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88900</wp:posOffset>
                </wp:positionV>
                <wp:extent cx="4521200" cy="127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i w:val="1"/>
          <w:sz w:val="28"/>
          <w:szCs w:val="28"/>
          <w:rtl w:val="1"/>
        </w:rPr>
        <w:t xml:space="preserve">ورقة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عمل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النشاط</w:t>
      </w:r>
      <w:r w:rsidDel="00000000" w:rsidR="00000000" w:rsidRPr="00000000">
        <w:rPr>
          <w:i w:val="1"/>
          <w:sz w:val="28"/>
          <w:szCs w:val="28"/>
          <w:rtl w:val="1"/>
        </w:rPr>
        <w:t xml:space="preserve">   </w:t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ستستخدم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بورشة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التنظيمي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وسيرشدك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الفيديو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بمتابعته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عشرة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أخطاء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يجب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تفاديها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أثناء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التحدث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أما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الجمهور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88"/>
        <w:gridCol w:w="2790"/>
        <w:gridCol w:w="4878"/>
        <w:tblGridChange w:id="0">
          <w:tblGrid>
            <w:gridCol w:w="1188"/>
            <w:gridCol w:w="2790"/>
            <w:gridCol w:w="4878"/>
          </w:tblGrid>
        </w:tblGridChange>
      </w:tblGrid>
      <w:t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الأخطاء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الملاحظات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أهمية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التحدث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الجمهور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</w:pPr>
            <w:r w:rsidDel="00000000" w:rsidR="00000000" w:rsidRPr="00000000">
              <w:rPr>
                <w:b w:val="1"/>
                <w:rtl w:val="1"/>
              </w:rPr>
              <w:t xml:space="preserve">الجانب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المهني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</w:pPr>
            <w:r w:rsidDel="00000000" w:rsidR="00000000" w:rsidRPr="00000000">
              <w:rPr>
                <w:b w:val="1"/>
                <w:rtl w:val="1"/>
              </w:rPr>
              <w:t xml:space="preserve">الجانب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trHeight w:val="186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استراتيجيات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المتحدثين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العظماء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الجمهور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88"/>
        <w:gridCol w:w="2790"/>
        <w:gridCol w:w="4878"/>
        <w:tblGridChange w:id="0">
          <w:tblGrid>
            <w:gridCol w:w="1188"/>
            <w:gridCol w:w="2790"/>
            <w:gridCol w:w="4878"/>
          </w:tblGrid>
        </w:tblGridChange>
      </w:tblGrid>
      <w:t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0" w:line="240" w:lineRule="auto"/>
      <w:contextualSpacing w:val="0"/>
      <w:jc w:val="center"/>
    </w:pPr>
    <w:r w:rsidDel="00000000" w:rsidR="00000000" w:rsidRPr="00000000">
      <mc:AlternateContent>
        <mc:Choice Requires="wpg">
          <w:drawing>
            <wp:inline distB="0" distT="0" distL="114300" distR="114300">
              <wp:extent cx="9144000" cy="38100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1" name="Shape 1"/>
                    <wps:spPr>
                      <a:xfrm>
                        <a:off x="774000" y="3589500"/>
                        <a:ext cx="9144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lr"/>
                          </w:pPr>
                        </w:p>
                      </w:txbxContent>
                    </wps:txbx>
                    <wps:bodyPr anchorCtr="0" anchor="ctr" bIns="45700" lIns="45700" rIns="91425" tIns="45700"/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9144000" cy="381000"/>
              <wp:effectExtent b="0" l="0" r="0" t="0"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0" cy="381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0"/>
      </w:rPr>
      <w:t xml:space="preserve"> Working for Democracy and Making Democracy Work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